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360"/>
        </w:tabs>
        <w:spacing w:after="0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Перечень объектов </w:t>
      </w:r>
    </w:p>
    <w:p>
      <w:pPr>
        <w:pStyle w:val="Normal.0"/>
        <w:spacing w:after="0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на выполнение работ по нанесению дорожной разметки на улично</w:t>
      </w:r>
      <w:r>
        <w:rPr>
          <w:b w:val="1"/>
          <w:bCs w:val="1"/>
          <w:color w:val="000000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u w:color="000000"/>
          <w:rtl w:val="0"/>
          <w:lang w:val="ru-RU"/>
        </w:rPr>
        <w:t>дорожной сети города Омска</w:t>
      </w:r>
    </w:p>
    <w:p>
      <w:pPr>
        <w:pStyle w:val="Normal.0"/>
        <w:spacing w:after="0"/>
        <w:jc w:val="center"/>
        <w:rPr>
          <w:b w:val="1"/>
          <w:bCs w:val="1"/>
          <w:color w:val="000000"/>
          <w:u w:color="000000"/>
        </w:rPr>
      </w:pPr>
    </w:p>
    <w:tbl>
      <w:tblPr>
        <w:tblW w:w="10564" w:type="dxa"/>
        <w:jc w:val="center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6"/>
        <w:gridCol w:w="4069"/>
        <w:gridCol w:w="1116"/>
        <w:gridCol w:w="1799"/>
        <w:gridCol w:w="1717"/>
        <w:gridCol w:w="1317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5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0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Наименование улиц</w:t>
            </w:r>
          </w:p>
        </w:tc>
        <w:tc>
          <w:tcPr>
            <w:tcW w:type="dxa" w:w="11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Площадь всего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Тип разметки</w:t>
            </w:r>
          </w:p>
        </w:tc>
        <w:tc>
          <w:tcPr>
            <w:tcW w:type="dxa" w:w="13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Количество нанесения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раз </w:t>
            </w:r>
          </w:p>
        </w:tc>
      </w:tr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5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Горизонтальная дорожная разметка продольная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Горизонтальная дорожная разметка типа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зебра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56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этап с момента заключения муниципального контракта по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30.06.2017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Космический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Индустриальная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Осминина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647,06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433,86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Маяковского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Куйбышева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Хмельницкого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245,62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185,50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60,12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Орджоникидзе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Интернациональная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36-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Северная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1944,30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1191,30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753,00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Заозерная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от моста имени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летия ВЛКСМ до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Королева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320,62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216,00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104,62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Солнечная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Волгоградская до Тюкалинского тракта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558,00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434,77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123,23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Хмельницкого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Нейбута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Кирова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1070,20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651,00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419,20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Кирова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Хмельницкого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Барабинская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1039,60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624,40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415,20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Красноярский тракт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Северная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Комбинатская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1330,50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1164,10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166,40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Окружная дорога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10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лет Октября до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Космический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202,20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184,20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Челюскинцев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Северная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24-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Северная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421,07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318,55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102,52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3-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Енисейская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Енисейская до                   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3-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Островская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134,11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48,10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86,01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Химиков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Мира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Энтузиастов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340,10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210,10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22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Апреля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Химиков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Энергетиков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285,20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193,20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92,00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Новокирпичная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Барабинская до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Сибирский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370,00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270,00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100,00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Мельничная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Кошевого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Талалихина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167,06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65,41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101,65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Красных Зорь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Маркса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Куйбышева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99,32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32,10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67,22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Шебалдина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Масленникова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Нейбута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245,85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75,05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170,80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Менделеева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Химиков               до Красноярского тракта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664,20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244,20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Волгоградская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Кондратюка                   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Солнечная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535,42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442,20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93,22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Степанца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бул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Архитекторов                     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Лукашевича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427,56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193,96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233,60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Маяковского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Ленина                      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Куйбышева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428,13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323,00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105,13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Фрунзе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Орджоникидзе                   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Маршала Жукова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474,20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220,80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253,40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Транспортная развязка у телецентра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276,00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76,00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Звездова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Куйбышева до                   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Маршала Жукова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41,44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22,44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Маркса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Масленникова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все подходы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Масленникова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Пушкина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все подходы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Масленникова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Маршала Жукова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все подходы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Масленникова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Куйбышева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все подходы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Маяковского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Маркса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ЖД вокзала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Маяковского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Пушкина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Маршала Жукова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Маяковского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Маршала Жукова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Масленникова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Маяковского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Декабристов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Маршала Жукова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Маяковского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Куйбышева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Маршала Жукова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Герцена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Интернациональная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Гусарова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Герцена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Фрунзе    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Булатова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Герцена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Булатова   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Фрунзенского моста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Герцена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Рабиновича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Яковлева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Герцена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Яковлева   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Октябрьская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Герцена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Октябрьская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Кемеровская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  <w:tc>
          <w:tcPr>
            <w:tcW w:type="dxa" w:w="40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Фрунзе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Гусарова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               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Рабиновича и Фрунзенского моста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</w:t>
            </w:r>
          </w:p>
        </w:tc>
        <w:tc>
          <w:tcPr>
            <w:tcW w:type="dxa" w:w="40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Булатова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Тарская 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Герцена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Фрунзе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Тарская   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Орджоникидзе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Фрунзе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Орджоникидзе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Интернациональная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Орджоникидзе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Яковлева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Булатова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Орджоникидзе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Кемеровская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Яковлева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Орджоникидзе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7-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Северная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Тарская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3,33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3,33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7-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Северная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Вавилова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Средняя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Булатова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Орджоникидзе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Герцена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10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лет Октября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Маршала Жукова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Декабристов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10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лет Октября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Декабристов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Звездова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1,96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1,96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10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лет Октября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Куйбышева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Хмельницкого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Маркса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Думская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Лермонтова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5,70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5,70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Маркса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Лермонтова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Почтовая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Маршала Жукова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Лермонтова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 стороны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Учебная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Итого по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этапу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12450,25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8036,50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4413,75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56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этап 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01.07.2017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31.07.2017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Светловская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Сибирский до пос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Светлый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81,50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81,50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15-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Рабочая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Кирова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Харьковская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161,57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94,37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67,20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Блусевич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Вокзальная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Невского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77,10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43,50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Невского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Блусевич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1-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Чередовая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34,50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13,10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Бедного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1-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Чередовая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Гуртьева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76,10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1-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Чередовая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Невского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Бедного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4,20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Ипподромная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Хмельницкого до здания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Ипподромная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55,70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22,10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Архитекторов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3-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Островская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Волгоградская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268,07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161,47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106,60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Королева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Заозерная до                                 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7-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Дунайская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805,60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665,60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140,00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Пушкина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Лермонтова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Подгорная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71,90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39,50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Пушкина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Масленникова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Циолковского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565,00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392,20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172,80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Омская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Маршала Жукова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3-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й Разъезд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1585,20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1059,90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525,30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Гусарова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Интернациональная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Октябрьская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348,40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228,40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120,00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21-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Амурская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Завертяева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24-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Северная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585,40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380,00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205,40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24-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Северная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21-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Амурская до Красноярского тракта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918,40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563,00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355,40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Конева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70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лет Октября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Волгоградская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400,00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220,00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838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Торговая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Кошевого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Суворова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круговая развязка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 районе ДП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-17)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233,00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205,00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Булатова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Орджоникидзе до Фрунзенского моста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216,10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83,70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132,40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Чайкиной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Хмельницкого до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Космический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517,60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416,00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101,60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Андрианова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Тварковского до проезда Инженеров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565,60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296,90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268,70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Маркса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Лобкова до Комсомольского моста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2560,28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1839,08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721,20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Ленина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Партизанская до Соборной площади и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Интернациональная включая площадь Победы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623,58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395,48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228,10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Партизанская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Ленина до 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Партизанская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108,50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61,00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47,50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Таубе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Партизанская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Победы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Тарская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Красина до площади Победы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50,30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10,30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Спартаковская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Партизанская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Красина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52,00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Итого по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этапу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11008,00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7366,50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3641,50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56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этап 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01.08.2017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31.08.2017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22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Декабря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Граничная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Полярная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124,22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63,42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Машиностроительная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6-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Станционная до дома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 Черлакскому тракту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96,00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42,20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53,80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Лермонтова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Пушкина до                                 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Маршала Жукова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85,00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85,00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Северная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Герцена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Челюскинцев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414,26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295,86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118,40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Дмитриева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70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лет Октября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Ватутина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326,00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76,00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Комарова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Лукашевича до 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Архитекторов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334,00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124,00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210,00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Торговая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Кошевого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Южная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122,30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39,70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82,60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Южная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Торговая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Кировская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106,40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31,50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74,90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Волховстроя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Кемеровская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Дачная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202,40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102,40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Бархатовой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Менделеева до Красноярского тракта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210,00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165,20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Циолковского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Иртышской набережной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Пушкина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214,00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64,00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Куйбышева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Бульварная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Омская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336,00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183,50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152,50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Осминина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Космический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75-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й Гвардейской бригады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75-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й Гвардейской бригады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лет ВЛКСМ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Осминина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45,10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30,70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лет ВЛКСМ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Романенко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75-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й Гвардейской бригады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69,50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53,50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Романенко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лет ВЛКСМ до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Космический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79,40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50,70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28,70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Кемеровская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Волочаевская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Орджоникидзе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338,50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212,00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126,50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Серова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Маркса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Труда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73,80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41,80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32,00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Лобкова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Рождественского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Труда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257,80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198,00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59,80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Труда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Лобкова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12-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Пролетарская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126,50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89,70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36,80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Культуры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Мира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Андрианова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67,20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67,20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парковочная площадка вблизи администрации Советского административного округа города Омска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парковочная площадка вблизи администрации Кировского административного округа города Омска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парковочная площадка вблизи администрации Центрального административного округа города Омска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парковочная площадка вблизи администрации Ленинского административного округа города Омска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21,00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парковочная площадка вблизи администрации Октябрьского административного округа города Омска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Завертяева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вблизи онкологического диспансера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159,30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100,50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58,80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пер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6-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й Донецкий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Завертяева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Краснознаменная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Краснознаменная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Донецкая до пер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6-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й Донецкий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35,00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15,80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19,20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Волочаевская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Кемеровская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Фрунзе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67,60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22,80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Перелета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Ватутина до дороги к Мостоотряд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-63)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730,08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530,00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200,08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Ватутина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Перелета до бул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Архитекторов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97,00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36,20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Дергачева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Волгоградская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Дианова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49,32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30,52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18,80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Короленко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Маркса до дома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Короленко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22,37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11,15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11,22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Багратиона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Челюскинцев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4-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Челюскинцев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74,80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52,80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Волочаевская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Кемеровская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Фрунзе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44,80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Итого по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этапу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5057,25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2984,75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2072,50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564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этап 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01.09.2017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30.09.2017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20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лет РККА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20-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Линия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9,60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9,60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119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22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Северная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Средняя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Герцена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120,40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35,00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85,40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120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Конева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70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лет Октября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Ватутина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дублер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139,40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50,00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89,40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121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Декабря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Транссибирская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Суворова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85,50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40,80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44,70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122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Магистральная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Химиков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Мамина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Сибиряка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229,50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95,00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134,50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123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Семиреченская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Мельничная до ООТ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Новостройка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124,20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79,40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44,80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124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Рождественского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просп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Маркса до Иртышской набережной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240,70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164,00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76,70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125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Тварковского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Андрианова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ХХ Партсъезда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60,33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35,53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24,80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126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Димитрова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Граничная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Суворова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76,56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30,90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45,66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127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20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лет РККА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Куйбышева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3-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й Разъезд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229,00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140,90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88,10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128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Кольцевая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Березовая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  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Дачная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58,00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42,00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129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я Дачная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 2-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я Кольцевая до ул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Красный Путь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66,06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16,72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49,34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Всего по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этапу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1439,25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730,25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709,00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  <w:tc>
          <w:tcPr>
            <w:tcW w:type="dxa" w:w="4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ИТОГО 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29954,75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19118,00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10836,75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  <w:spacing w:after="0"/>
        <w:ind w:left="93" w:hanging="93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/>
        <w:jc w:val="center"/>
      </w:pPr>
    </w:p>
    <w:p>
      <w:pPr>
        <w:pStyle w:val="Normal.0"/>
      </w:pPr>
    </w:p>
    <w:p>
      <w:pPr>
        <w:pStyle w:val="Normal.0"/>
        <w:spacing w:after="0"/>
        <w:jc w:val="right"/>
      </w:pPr>
      <w:r>
        <w:tab/>
      </w:r>
    </w:p>
    <w:tbl>
      <w:tblPr>
        <w:tblW w:w="1031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93"/>
        <w:gridCol w:w="426"/>
        <w:gridCol w:w="529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Муниципальный заказчик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                            </w:t>
            </w:r>
          </w:p>
        </w:tc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Подрядчик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/>
        <w:jc w:val="right"/>
      </w:pPr>
    </w:p>
    <w:p>
      <w:pPr>
        <w:pStyle w:val="Normal.0"/>
        <w:tabs>
          <w:tab w:val="left" w:pos="4320"/>
        </w:tabs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0"/>
        <w:jc w:val="right"/>
      </w:pP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 xml:space="preserve">2 </w:t>
      </w:r>
    </w:p>
    <w:p>
      <w:pPr>
        <w:pStyle w:val="Normal.0"/>
        <w:spacing w:after="0"/>
        <w:jc w:val="right"/>
      </w:pPr>
      <w:r>
        <w:rPr>
          <w:rtl w:val="0"/>
          <w:lang w:val="ru-RU"/>
        </w:rPr>
        <w:t>к муниципальному контракту</w:t>
      </w:r>
    </w:p>
    <w:p>
      <w:pPr>
        <w:pStyle w:val="Normal.0"/>
        <w:spacing w:after="0"/>
        <w:jc w:val="right"/>
      </w:pPr>
      <w:r>
        <w:rPr>
          <w:rtl w:val="0"/>
          <w:lang w:val="ru-RU"/>
        </w:rPr>
        <w:t xml:space="preserve">на выполнение подрядных работ </w:t>
      </w:r>
    </w:p>
    <w:p>
      <w:pPr>
        <w:pStyle w:val="Normal.0"/>
        <w:spacing w:after="0"/>
        <w:jc w:val="right"/>
      </w:pP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__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_______ 2017 </w:t>
      </w:r>
      <w:r>
        <w:rPr>
          <w:rtl w:val="0"/>
          <w:lang w:val="ru-RU"/>
        </w:rPr>
        <w:t>года</w:t>
      </w:r>
    </w:p>
    <w:p>
      <w:pPr>
        <w:pStyle w:val="Normal.0"/>
        <w:spacing w:after="0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Plain Text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Plain Text"/>
        <w:ind w:firstLine="567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0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3119"/>
        <w:gridCol w:w="2084"/>
        <w:gridCol w:w="2083"/>
        <w:gridCol w:w="208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работ</w:t>
            </w:r>
          </w:p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 всего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Стоимость работ за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Стоимость работ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НДС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Нанесение горизонтальной дорожной разметки типа «зебра»</w:t>
            </w:r>
          </w:p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10836,75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Нанесение горизонтальной дорожной разметки продольной</w:t>
            </w:r>
          </w:p>
        </w:tc>
        <w:tc>
          <w:tcPr>
            <w:tcW w:type="dxa" w:w="2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19118,00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НДС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lain Text"/>
        <w:widowControl w:val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tbl>
      <w:tblPr>
        <w:tblW w:w="1031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93"/>
        <w:gridCol w:w="426"/>
        <w:gridCol w:w="529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Муниципальный заказчик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                            </w:t>
            </w:r>
          </w:p>
        </w:tc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Подрядчик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 xml:space="preserve">3 </w:t>
      </w:r>
    </w:p>
    <w:p>
      <w:pPr>
        <w:pStyle w:val="Normal.0"/>
        <w:spacing w:after="0"/>
        <w:jc w:val="right"/>
      </w:pPr>
      <w:r>
        <w:rPr>
          <w:rtl w:val="0"/>
          <w:lang w:val="ru-RU"/>
        </w:rPr>
        <w:t>к муниципальному контракту</w:t>
      </w:r>
    </w:p>
    <w:p>
      <w:pPr>
        <w:pStyle w:val="Normal.0"/>
        <w:spacing w:after="0"/>
        <w:jc w:val="right"/>
      </w:pPr>
      <w:r>
        <w:rPr>
          <w:rtl w:val="0"/>
          <w:lang w:val="ru-RU"/>
        </w:rPr>
        <w:t xml:space="preserve">на выполнение подрядных работ </w:t>
      </w:r>
    </w:p>
    <w:p>
      <w:pPr>
        <w:pStyle w:val="Normal.0"/>
        <w:spacing w:after="0"/>
        <w:jc w:val="right"/>
      </w:pP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__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_______ 2017 </w:t>
      </w:r>
      <w:r>
        <w:rPr>
          <w:rtl w:val="0"/>
          <w:lang w:val="ru-RU"/>
        </w:rPr>
        <w:t>года</w:t>
      </w: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Наименования и характеристики товаров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используемых при выполнении работ</w:t>
      </w: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tbl>
      <w:tblPr>
        <w:tblW w:w="10348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4111"/>
        <w:gridCol w:w="3260"/>
        <w:gridCol w:w="2410"/>
      </w:tblGrid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heading 1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товара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товарный знак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его словесное обозначение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 (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знак обслуживания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фирменное наименование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патенты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полезные модели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промышленные образцы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при наличии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Характеристики товара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spacing w:before="0"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8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страны происхождения товара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/>
        <w:ind w:left="108" w:hanging="108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tbl>
      <w:tblPr>
        <w:tblW w:w="1031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93"/>
        <w:gridCol w:w="426"/>
        <w:gridCol w:w="529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Муниципальный заказчик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                            </w:t>
            </w:r>
          </w:p>
        </w:tc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Подрядчик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</w:pPr>
    </w:p>
    <w:p>
      <w:pPr>
        <w:pStyle w:val="Normal.0"/>
        <w:spacing w:after="0"/>
        <w:jc w:val="right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709" w:right="567" w:bottom="426" w:left="993" w:header="709" w:footer="709"/>
          <w:titlePg w:val="1"/>
          <w:bidi w:val="0"/>
        </w:sectPr>
      </w:pPr>
    </w:p>
    <w:p>
      <w:pPr>
        <w:pStyle w:val="Normal.0"/>
        <w:spacing w:after="0"/>
        <w:jc w:val="right"/>
      </w:pP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документации об электронном аукционе</w:t>
      </w:r>
    </w:p>
    <w:p>
      <w:pPr>
        <w:pStyle w:val="Normal.0"/>
        <w:spacing w:after="0"/>
        <w:jc w:val="right"/>
      </w:pPr>
    </w:p>
    <w:p>
      <w:pPr>
        <w:pStyle w:val="Normal.0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Обоснование начальной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максимальной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 xml:space="preserve">цены контракта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НМЦК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ind w:firstLine="540"/>
      </w:pPr>
      <w:r>
        <w:rPr>
          <w:rtl w:val="0"/>
          <w:lang w:val="ru-RU"/>
        </w:rPr>
        <w:t xml:space="preserve">Начальная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максимальная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цена контракта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НМЦК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определена муниципальным заказчиком посредством применения затратного метода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/>
        <w:ind w:firstLine="540"/>
      </w:pPr>
      <w:r>
        <w:rPr>
          <w:rtl w:val="0"/>
          <w:lang w:val="ru-RU"/>
        </w:rPr>
        <w:t xml:space="preserve">Расчет НМЦК произведен на основании единичных расценок на выполнение работ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локальный сметный расчет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Приложение № </w:t>
      </w:r>
      <w:r>
        <w:rPr>
          <w:rtl w:val="0"/>
          <w:lang w:val="ru-RU"/>
        </w:rPr>
        <w:t xml:space="preserve">1, 2 </w:t>
      </w:r>
      <w:r>
        <w:rPr>
          <w:rtl w:val="0"/>
          <w:lang w:val="ru-RU"/>
        </w:rPr>
        <w:t>к обоснованию НМЦК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учетом объема выполняемых работ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Таблица № </w:t>
      </w:r>
      <w:r>
        <w:rPr>
          <w:rtl w:val="0"/>
          <w:lang w:val="ru-RU"/>
        </w:rPr>
        <w:t>1).</w:t>
      </w:r>
    </w:p>
    <w:p>
      <w:pPr>
        <w:pStyle w:val="Normal.0"/>
        <w:ind w:firstLine="420"/>
        <w:rPr>
          <w:color w:val="000000"/>
          <w:u w:color="000000"/>
        </w:rPr>
      </w:pPr>
      <w:r>
        <w:rPr>
          <w:rtl w:val="0"/>
          <w:lang w:val="ru-RU"/>
        </w:rPr>
        <w:t xml:space="preserve">  Локальные сметные расчеты составлены на основании сметных нормативов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содержат единичные расценки на выполнение строительных работ на территории субъекта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Бюллетеня информационных материалов для строителей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БИМ</w:t>
      </w:r>
      <w:r>
        <w:rPr>
          <w:rtl w:val="0"/>
          <w:lang w:val="ru-RU"/>
        </w:rPr>
        <w:t>) (</w:t>
      </w:r>
      <w:r>
        <w:rPr>
          <w:rtl w:val="0"/>
          <w:lang w:val="ru-RU"/>
        </w:rPr>
        <w:t>разработчик ЗАО «Сибирский центр ценообразования в строительстве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промышленности и энергетике»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Территориального свода правил по определению стоимости строительной продукции в Омской области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разработчик ЗАО «Сибирский центр ценообразования в строительстве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промышленности и энергетике»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Методики определения стоимости строительной продукции на территории РФ №МДС </w:t>
      </w:r>
      <w:r>
        <w:rPr>
          <w:rtl w:val="0"/>
          <w:lang w:val="ru-RU"/>
        </w:rPr>
        <w:t>81-35.2004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tabs>
          <w:tab w:val="left" w:pos="8364"/>
        </w:tabs>
        <w:spacing w:after="0"/>
        <w:ind w:firstLine="709"/>
        <w:jc w:val="right"/>
        <w:rPr>
          <w:b w:val="1"/>
          <w:bCs w:val="1"/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Таблица № </w:t>
      </w:r>
      <w:r>
        <w:rPr>
          <w:color w:val="000000"/>
          <w:u w:color="000000"/>
          <w:rtl w:val="0"/>
          <w:lang w:val="ru-RU"/>
        </w:rPr>
        <w:t>1</w:t>
      </w:r>
    </w:p>
    <w:p>
      <w:pPr>
        <w:pStyle w:val="Normal.0"/>
        <w:tabs>
          <w:tab w:val="left" w:pos="8364"/>
        </w:tabs>
        <w:spacing w:after="0"/>
        <w:ind w:firstLine="709"/>
        <w:jc w:val="right"/>
        <w:rPr>
          <w:b w:val="1"/>
          <w:bCs w:val="1"/>
        </w:rPr>
      </w:pPr>
    </w:p>
    <w:tbl>
      <w:tblPr>
        <w:tblW w:w="10348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3118"/>
        <w:gridCol w:w="1417"/>
        <w:gridCol w:w="1276"/>
        <w:gridCol w:w="1985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 дорожной разметки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Обоснование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Цена за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НДС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Стоимость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НДС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Горизонтальная дорожная разметка продольная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Локальный сметный расчет 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м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 обоснованию НМЦК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122,72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19118,00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346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160,96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Горизонтальная дорожная разметка типа «зебра»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Локальный сметный расчет 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м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 обоснованию НМЦК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210,52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lain Tex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10836,75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281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352,61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3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76"/>
              </w:tabs>
              <w:jc w:val="lef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Начальная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максимальная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цена муниципального контракта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НДС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627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513,57</w:t>
            </w:r>
          </w:p>
        </w:tc>
      </w:tr>
    </w:tbl>
    <w:p>
      <w:pPr>
        <w:pStyle w:val="Normal.0"/>
        <w:widowControl w:val="0"/>
        <w:tabs>
          <w:tab w:val="left" w:pos="8364"/>
        </w:tabs>
        <w:spacing w:after="0"/>
        <w:ind w:left="108" w:hanging="108"/>
        <w:jc w:val="right"/>
        <w:rPr>
          <w:b w:val="1"/>
          <w:bCs w:val="1"/>
        </w:rPr>
      </w:pPr>
    </w:p>
    <w:p>
      <w:pPr>
        <w:pStyle w:val="Normal.0"/>
        <w:tabs>
          <w:tab w:val="left" w:pos="8364"/>
        </w:tabs>
        <w:spacing w:after="0"/>
      </w:pPr>
    </w:p>
    <w:p>
      <w:pPr>
        <w:pStyle w:val="Normal.0"/>
        <w:tabs>
          <w:tab w:val="left" w:pos="8364"/>
        </w:tabs>
        <w:spacing w:after="0"/>
      </w:pPr>
      <w:r/>
    </w:p>
    <w:sectPr>
      <w:headerReference w:type="default" r:id="rId8"/>
      <w:headerReference w:type="first" r:id="rId9"/>
      <w:footerReference w:type="default" r:id="rId10"/>
      <w:footerReference w:type="first" r:id="rId11"/>
      <w:pgSz w:w="11900" w:h="16840" w:orient="portrait"/>
      <w:pgMar w:top="851" w:right="851" w:bottom="567" w:left="85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10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6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6"/>
      <w:szCs w:val="3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