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Отключение ГВС с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17.05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30.05.2017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Поадресный перечень потребителей 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tbl>
      <w:tblPr>
        <w:tblW w:w="10035" w:type="dxa"/>
        <w:jc w:val="center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8"/>
        <w:gridCol w:w="7534"/>
        <w:gridCol w:w="1503"/>
      </w:tblGrid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№ п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п</w:t>
            </w:r>
          </w:p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Адрес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Назначение объекта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стр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.1)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Архитекторов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Комарова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Бережного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Ватутина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Волгоградская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Волгоградская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Волгоградская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Дианова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Дмитриева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Енисейская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Енисейская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Енисейская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Енисейская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Енисейская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Конева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Крупской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Лисицкого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Любинская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.1 (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стр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№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1)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.2 (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стр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№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2)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Рокоссовского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Солнечная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</w:tbl>
    <w:p>
      <w:pPr>
        <w:pStyle w:val="Normal.0"/>
        <w:widowControl w:val="0"/>
        <w:ind w:left="103" w:hanging="103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ind w:firstLine="708"/>
        <w:jc w:val="both"/>
      </w:pPr>
      <w:r>
        <w:rPr>
          <w:i w:val="1"/>
          <w:iCs w:val="1"/>
          <w:u w:val="single"/>
          <w:rtl w:val="0"/>
          <w:lang w:val="ru-RU"/>
        </w:rPr>
        <w:t>Примечание</w:t>
      </w:r>
      <w:r>
        <w:rPr>
          <w:i w:val="1"/>
          <w:iCs w:val="1"/>
          <w:u w:val="single"/>
          <w:rtl w:val="0"/>
          <w:lang w:val="ru-RU"/>
        </w:rPr>
        <w:t>:</w:t>
      </w:r>
      <w:r>
        <w:rPr>
          <w:rtl w:val="0"/>
          <w:lang w:val="ru-RU"/>
        </w:rPr>
        <w:t xml:space="preserve"> Дата отключения ГВС может быть изменена с предварительным оповещением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color w:val="000000"/>
          <w:sz w:val="32"/>
          <w:szCs w:val="3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